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+*xfs*pvs*Akl*cvA*xBj*tds*dwj*yxi*cvA*oab*pBk*-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+*yqw*lro*Cyk*Czr*ugB*dzb*khx*Anu*uDn*uyb*zew*-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+*eDs*lyd*lyd*lyd*lyd*Diz*flz*nwm*Byu*Boi*zfE*-</w:t>
            </w:r>
            <w:r>
              <w:rPr>
                <w:rFonts w:ascii="PDF417x" w:hAnsi="PDF417x"/>
                <w:sz w:val="24"/>
                <w:szCs w:val="24"/>
              </w:rPr>
              <w:br/>
              <w:t>+*ftw*Chk*jbl*lqg*Csa*nqC*mEa*tgy*vmk*loc*onA*-</w:t>
            </w:r>
            <w:r>
              <w:rPr>
                <w:rFonts w:ascii="PDF417x" w:hAnsi="PDF417x"/>
                <w:sz w:val="24"/>
                <w:szCs w:val="24"/>
              </w:rPr>
              <w:br/>
              <w:t>+*ftA*jdw*wvB*yea*wEo*obq*krq*jFw*oya*EjE*uws*-</w:t>
            </w:r>
            <w:r>
              <w:rPr>
                <w:rFonts w:ascii="PDF417x" w:hAnsi="PDF417x"/>
                <w:sz w:val="24"/>
                <w:szCs w:val="24"/>
              </w:rPr>
              <w:br/>
              <w:t>+*xjq*iCs*nyh*lFy*caz*Drj*lyo*nvb*jAl*Exz*uzq*-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AA78142" w14:textId="0B5E849B" w:rsidR="00B92D0F" w:rsidRPr="00B92D0F" w:rsidRDefault="00B92D0F" w:rsidP="009568BF">
      <w:pPr>
        <w:jc w:val="both"/>
        <w:rPr>
          <w:rFonts w:eastAsia="Times New Roman" w:cs="Times New Roman"/>
          <w:noProof w:val="0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857D64F">
            <wp:simplePos x="0" y="0"/>
            <wp:positionH relativeFrom="column">
              <wp:posOffset>749935</wp:posOffset>
            </wp:positionH>
            <wp:positionV relativeFrom="paragraph">
              <wp:posOffset>6985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08CE5" w14:textId="4411E4C8" w:rsidR="009568BF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107EF321">
                <wp:simplePos x="0" y="0"/>
                <wp:positionH relativeFrom="page">
                  <wp:posOffset>106680</wp:posOffset>
                </wp:positionH>
                <wp:positionV relativeFrom="bottomMargin">
                  <wp:align>top</wp:align>
                </wp:positionV>
                <wp:extent cx="3535045" cy="49657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0;width:278.35pt;height:39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7D82A884" w14:textId="6AB84672" w:rsidR="009568BF" w:rsidRDefault="009568BF" w:rsidP="009568BF"/>
    <w:p w14:paraId="3D355C96" w14:textId="0D68F93F" w:rsidR="009568BF" w:rsidRPr="00650892" w:rsidRDefault="00650892" w:rsidP="006508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568BF" w:rsidRPr="00650892">
        <w:rPr>
          <w:rFonts w:ascii="Arial" w:hAnsi="Arial" w:cs="Arial"/>
          <w:sz w:val="24"/>
          <w:szCs w:val="24"/>
        </w:rPr>
        <w:t>REPUBLIKA HRVATSKA</w:t>
      </w:r>
    </w:p>
    <w:p w14:paraId="3C873ED4" w14:textId="77777777" w:rsidR="00650892" w:rsidRPr="00650892" w:rsidRDefault="009568BF" w:rsidP="00650892">
      <w:pPr>
        <w:rPr>
          <w:rFonts w:ascii="Arial" w:hAnsi="Arial" w:cs="Arial"/>
          <w:sz w:val="24"/>
          <w:szCs w:val="24"/>
        </w:rPr>
      </w:pPr>
      <w:r w:rsidRPr="00650892">
        <w:rPr>
          <w:rFonts w:ascii="Arial" w:hAnsi="Arial" w:cs="Arial"/>
          <w:sz w:val="24"/>
          <w:szCs w:val="24"/>
        </w:rPr>
        <w:t>LIČKO-SENJSKA ŽUPANIJA</w:t>
      </w:r>
    </w:p>
    <w:p w14:paraId="49D7157A" w14:textId="6F8F8E54" w:rsidR="009568BF" w:rsidRPr="00650892" w:rsidRDefault="00650892" w:rsidP="006508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568BF" w:rsidRPr="00650892">
        <w:rPr>
          <w:rFonts w:ascii="Arial" w:hAnsi="Arial" w:cs="Arial"/>
          <w:sz w:val="24"/>
          <w:szCs w:val="24"/>
        </w:rPr>
        <w:t>GRAD OTOČAC</w:t>
      </w:r>
    </w:p>
    <w:p w14:paraId="43134D06" w14:textId="77777777" w:rsidR="009568BF" w:rsidRPr="00650892" w:rsidRDefault="009568BF" w:rsidP="00650892">
      <w:pPr>
        <w:rPr>
          <w:rFonts w:ascii="Arial" w:hAnsi="Arial" w:cs="Arial"/>
          <w:sz w:val="24"/>
          <w:szCs w:val="24"/>
        </w:rPr>
      </w:pPr>
      <w:r w:rsidRPr="00650892">
        <w:rPr>
          <w:rFonts w:ascii="Arial" w:hAnsi="Arial" w:cs="Arial"/>
          <w:sz w:val="24"/>
          <w:szCs w:val="24"/>
        </w:rPr>
        <w:tab/>
      </w:r>
      <w:r w:rsidRPr="00650892">
        <w:rPr>
          <w:rFonts w:ascii="Arial" w:hAnsi="Arial" w:cs="Arial"/>
          <w:sz w:val="24"/>
          <w:szCs w:val="24"/>
        </w:rPr>
        <w:tab/>
      </w:r>
      <w:r w:rsidRPr="00650892">
        <w:rPr>
          <w:rFonts w:ascii="Arial" w:hAnsi="Arial" w:cs="Arial"/>
          <w:sz w:val="24"/>
          <w:szCs w:val="24"/>
        </w:rPr>
        <w:tab/>
      </w:r>
    </w:p>
    <w:p w14:paraId="567EC4DB" w14:textId="3CC56B3E" w:rsidR="009568BF" w:rsidRPr="00650892" w:rsidRDefault="009568BF" w:rsidP="00650892">
      <w:pPr>
        <w:rPr>
          <w:rFonts w:ascii="Arial" w:hAnsi="Arial" w:cs="Arial"/>
          <w:sz w:val="24"/>
          <w:szCs w:val="24"/>
        </w:rPr>
      </w:pPr>
      <w:r w:rsidRPr="00650892">
        <w:rPr>
          <w:rFonts w:ascii="Arial" w:hAnsi="Arial" w:cs="Arial"/>
          <w:sz w:val="24"/>
          <w:szCs w:val="24"/>
        </w:rPr>
        <w:t xml:space="preserve">KLASA: 240-03/25-01/1 </w:t>
      </w:r>
    </w:p>
    <w:p w14:paraId="5852F20E" w14:textId="77777777" w:rsidR="009568BF" w:rsidRPr="00650892" w:rsidRDefault="009568BF" w:rsidP="00650892">
      <w:pPr>
        <w:rPr>
          <w:rFonts w:ascii="Arial" w:hAnsi="Arial" w:cs="Arial"/>
          <w:sz w:val="24"/>
          <w:szCs w:val="24"/>
        </w:rPr>
      </w:pPr>
      <w:r w:rsidRPr="00650892">
        <w:rPr>
          <w:rFonts w:ascii="Arial" w:hAnsi="Arial" w:cs="Arial"/>
          <w:sz w:val="24"/>
          <w:szCs w:val="24"/>
        </w:rPr>
        <w:t>URBROJ: 2125-2-03-25-11</w:t>
      </w:r>
    </w:p>
    <w:p w14:paraId="011CDD87" w14:textId="422DF37B" w:rsidR="009568BF" w:rsidRDefault="009568BF" w:rsidP="00650892">
      <w:pPr>
        <w:rPr>
          <w:rFonts w:ascii="Arial" w:hAnsi="Arial" w:cs="Arial"/>
          <w:sz w:val="24"/>
          <w:szCs w:val="24"/>
        </w:rPr>
      </w:pPr>
      <w:r w:rsidRPr="00650892">
        <w:rPr>
          <w:rFonts w:ascii="Arial" w:hAnsi="Arial" w:cs="Arial"/>
          <w:sz w:val="24"/>
          <w:szCs w:val="24"/>
        </w:rPr>
        <w:t>Otočac, 25.07.2025.</w:t>
      </w:r>
      <w:r w:rsidR="00650892">
        <w:rPr>
          <w:rFonts w:ascii="Arial" w:hAnsi="Arial" w:cs="Arial"/>
          <w:sz w:val="24"/>
          <w:szCs w:val="24"/>
        </w:rPr>
        <w:t xml:space="preserve"> godine</w:t>
      </w:r>
    </w:p>
    <w:p w14:paraId="7831C458" w14:textId="77777777" w:rsidR="00650892" w:rsidRDefault="00650892" w:rsidP="00650892">
      <w:pPr>
        <w:rPr>
          <w:rFonts w:ascii="Arial" w:hAnsi="Arial" w:cs="Arial"/>
          <w:sz w:val="24"/>
          <w:szCs w:val="24"/>
        </w:rPr>
      </w:pPr>
    </w:p>
    <w:p w14:paraId="14EF7363" w14:textId="77777777" w:rsidR="00650892" w:rsidRDefault="00650892" w:rsidP="00AD4961">
      <w:pPr>
        <w:jc w:val="both"/>
        <w:rPr>
          <w:rFonts w:ascii="Arial" w:hAnsi="Arial" w:cs="Arial"/>
          <w:sz w:val="24"/>
          <w:szCs w:val="24"/>
        </w:rPr>
      </w:pPr>
    </w:p>
    <w:p w14:paraId="01F9C5CF" w14:textId="77777777" w:rsidR="00650892" w:rsidRPr="00650892" w:rsidRDefault="00650892" w:rsidP="00AD4961">
      <w:pPr>
        <w:ind w:firstLine="708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Na temelju članka 24. stavak 1. Zakona o sustavu civilne zaštite („Narodne novine“ broj 82/15, 118/18, 31/20, 20/21, 114/22), članka 5. Pravilnika o sastavu stožera, načinu rada te uvjetima za imenovanje načelnika, zamjenika načelnika i članova stožera civilne zaštite („Narodne novine“ broj 126/19, 17/20) i članka 59. Statuta Grada Otočca („Službeni vjesnik Grada Otočca“ broj 9/21), Gradonačelnik Grada Otočca, donosi</w:t>
      </w:r>
    </w:p>
    <w:p w14:paraId="66263DC2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641C3815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29A07118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ODLUKU</w:t>
      </w:r>
    </w:p>
    <w:p w14:paraId="0B1F7C0A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 xml:space="preserve">o osnivanju i imenovanju članova </w:t>
      </w:r>
    </w:p>
    <w:p w14:paraId="51E648B3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Stožera civilne zaštite Grada Otočca</w:t>
      </w:r>
    </w:p>
    <w:p w14:paraId="0A7FD64B" w14:textId="77777777" w:rsidR="00650892" w:rsidRPr="00650892" w:rsidRDefault="00650892" w:rsidP="00650892">
      <w:pPr>
        <w:jc w:val="center"/>
        <w:rPr>
          <w:rFonts w:ascii="Arial" w:eastAsia="Calibri" w:hAnsi="Arial" w:cs="Arial"/>
          <w:noProof w:val="0"/>
          <w:sz w:val="24"/>
          <w:szCs w:val="24"/>
        </w:rPr>
      </w:pPr>
    </w:p>
    <w:p w14:paraId="654CB7DC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4B36711A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1.</w:t>
      </w:r>
    </w:p>
    <w:p w14:paraId="029DC7CB" w14:textId="77777777" w:rsidR="00650892" w:rsidRPr="00650892" w:rsidRDefault="00650892" w:rsidP="00AD4961">
      <w:pPr>
        <w:jc w:val="both"/>
        <w:rPr>
          <w:rFonts w:ascii="Arial" w:eastAsia="Calibri" w:hAnsi="Arial" w:cs="Arial"/>
          <w:bCs/>
          <w:noProof w:val="0"/>
          <w:sz w:val="24"/>
          <w:szCs w:val="24"/>
        </w:rPr>
      </w:pPr>
    </w:p>
    <w:p w14:paraId="7A0665F3" w14:textId="77777777" w:rsidR="00650892" w:rsidRPr="00650892" w:rsidRDefault="00650892" w:rsidP="00AD4961">
      <w:pPr>
        <w:jc w:val="both"/>
        <w:rPr>
          <w:rFonts w:ascii="Arial" w:eastAsia="Calibri" w:hAnsi="Arial" w:cs="Arial"/>
          <w:bCs/>
          <w:noProof w:val="0"/>
          <w:sz w:val="24"/>
          <w:szCs w:val="24"/>
        </w:rPr>
      </w:pP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  <w:t xml:space="preserve">Odlukom o osnivanju i imenovanju članova Stožera civilne zaštite Grada Otočca (u daljnjem tekstu: Odluka) osniva se Stožer civilne zaštite Grada Otočca te se imenuje načelnik, zamjenik načelnika i članovi Stožera civilne zaštite Grada Otočca (u daljnjem tekstu: Stožer). </w:t>
      </w:r>
    </w:p>
    <w:p w14:paraId="628205C0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</w:p>
    <w:p w14:paraId="31238BDD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2.</w:t>
      </w:r>
    </w:p>
    <w:p w14:paraId="3BB97374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548EFEA2" w14:textId="77777777" w:rsidR="00650892" w:rsidRPr="00650892" w:rsidRDefault="00650892" w:rsidP="00AD4961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Stožer je stručno, operativno i koordinativno tijelo koje se osniva za usklađivanje djelovanja operativnih snaga sustava civilne zaštite na području Grada Otočca u pripremnoj fazi prije nastanka posljedica izvanrednog događaja i tijekom provođenja mjera i aktivnosti civilne zaštite u velikim nesrećama i katastrofama.</w:t>
      </w:r>
    </w:p>
    <w:p w14:paraId="0CCB705C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73A23549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3.</w:t>
      </w:r>
    </w:p>
    <w:p w14:paraId="30E336BE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17B7EF5E" w14:textId="77777777" w:rsidR="00650892" w:rsidRPr="00650892" w:rsidRDefault="00650892" w:rsidP="00650892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U Stožer se imenuju:</w:t>
      </w:r>
    </w:p>
    <w:p w14:paraId="0666A28C" w14:textId="77777777" w:rsidR="00650892" w:rsidRPr="00650892" w:rsidRDefault="00650892" w:rsidP="00650892">
      <w:pPr>
        <w:jc w:val="both"/>
        <w:rPr>
          <w:rFonts w:ascii="Arial" w:eastAsia="Calibri" w:hAnsi="Arial" w:cs="Arial"/>
          <w:noProof w:val="0"/>
          <w:sz w:val="24"/>
          <w:szCs w:val="24"/>
        </w:rPr>
      </w:pPr>
    </w:p>
    <w:p w14:paraId="2A768D95" w14:textId="6D3146B9" w:rsidR="00650892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GORAN BUKOVAC, Gradonačelnik Grada Otočca, za načelnika Stožera,</w:t>
      </w:r>
      <w:r w:rsidR="00C70069">
        <w:rPr>
          <w:rFonts w:ascii="Arial" w:eastAsia="Calibri" w:hAnsi="Arial" w:cs="Arial"/>
          <w:noProof w:val="0"/>
          <w:sz w:val="24"/>
          <w:szCs w:val="24"/>
        </w:rPr>
        <w:t xml:space="preserve"> </w:t>
      </w:r>
    </w:p>
    <w:p w14:paraId="212253DD" w14:textId="77777777" w:rsidR="00650892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IVAN ŠPORČIĆ, pročelnik Jedinstvenog upravnog odjela Grada Otočca, za zamjenika načelnika Stožera,</w:t>
      </w:r>
    </w:p>
    <w:p w14:paraId="3CF80ABF" w14:textId="77777777" w:rsidR="00650892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MIRKO BIĆANIĆ, načelnik Policijske postaje Otočac, za člana,</w:t>
      </w:r>
    </w:p>
    <w:p w14:paraId="12C1037A" w14:textId="3F3ADA9D" w:rsidR="00650892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VLADIMIR SARKOTIĆ, tehničar civilne zaštite,</w:t>
      </w:r>
      <w:r w:rsidR="00C70069">
        <w:rPr>
          <w:rFonts w:ascii="Arial" w:eastAsia="Calibri" w:hAnsi="Arial" w:cs="Arial"/>
          <w:noProof w:val="0"/>
          <w:sz w:val="24"/>
          <w:szCs w:val="24"/>
        </w:rPr>
        <w:t xml:space="preserve"> MUP, </w:t>
      </w:r>
      <w:r w:rsidRPr="00650892">
        <w:rPr>
          <w:rFonts w:ascii="Arial" w:eastAsia="Calibri" w:hAnsi="Arial" w:cs="Arial"/>
          <w:noProof w:val="0"/>
          <w:sz w:val="24"/>
          <w:szCs w:val="24"/>
        </w:rPr>
        <w:t xml:space="preserve">Ravnateljstvo civilne zaštite, Područni ured civilne zaštite Rijeka, Služba civilne zaštite Gospić, za člana, </w:t>
      </w:r>
    </w:p>
    <w:p w14:paraId="11AF1ABE" w14:textId="77777777" w:rsidR="00650892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lastRenderedPageBreak/>
        <w:t>MARINKO KRMEC, zapovjednik Vatrogasne zajednice Grada Otočca, za člana,</w:t>
      </w:r>
    </w:p>
    <w:p w14:paraId="05A1A014" w14:textId="77777777" w:rsidR="00650892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IVAN FURLAN, Dom zdravlja Ličko-senjske županije, voditelj Ispostave Otočac, za člana</w:t>
      </w:r>
    </w:p>
    <w:p w14:paraId="2486C375" w14:textId="77777777" w:rsidR="00650892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DRAGICA CVITKOVIĆ, ravnateljica Gradskog društva Crvenog križa Otočac, za člana,</w:t>
      </w:r>
    </w:p>
    <w:p w14:paraId="61052F13" w14:textId="77777777" w:rsidR="00650892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DARIO CINDRIĆ, pročelnik Hrvatske gorske službe spašavanja, Stanica Gospić, za člana,</w:t>
      </w:r>
    </w:p>
    <w:p w14:paraId="1EEBE85C" w14:textId="2E0862C9" w:rsid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ALIJA JUNUZOVIĆ, Zavod za hitnu medicinu Ličko-senjske županije, voditelj Ispostave Otočac, za člana,</w:t>
      </w:r>
    </w:p>
    <w:p w14:paraId="7C529FF7" w14:textId="77777777" w:rsidR="00232C96" w:rsidRDefault="00232C96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232C96">
        <w:rPr>
          <w:rFonts w:ascii="Arial" w:eastAsia="Calibri" w:hAnsi="Arial" w:cs="Arial"/>
          <w:noProof w:val="0"/>
          <w:sz w:val="24"/>
          <w:szCs w:val="24"/>
        </w:rPr>
        <w:t>LIDIJA PERNAR, Hrvatske vode, VGI za male slivove „Lika, Podvelebitsko                   primorje i otoci“, voditeljica Ispostave, za člana,</w:t>
      </w:r>
    </w:p>
    <w:p w14:paraId="58B6502B" w14:textId="2DB861C1" w:rsidR="00C70069" w:rsidRPr="00650892" w:rsidRDefault="00650892" w:rsidP="00232C96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>TONA VRANIĆ, službenik Grada Otočca, za člana.</w:t>
      </w:r>
    </w:p>
    <w:p w14:paraId="7A9745FC" w14:textId="77936908" w:rsidR="00650892" w:rsidRPr="00650892" w:rsidRDefault="00C70069" w:rsidP="00650892">
      <w:pPr>
        <w:ind w:left="720"/>
        <w:jc w:val="both"/>
        <w:rPr>
          <w:rFonts w:ascii="Arial" w:eastAsia="Calibri" w:hAnsi="Arial" w:cs="Arial"/>
          <w:noProof w:val="0"/>
          <w:sz w:val="24"/>
          <w:szCs w:val="24"/>
        </w:rPr>
      </w:pPr>
      <w:r>
        <w:rPr>
          <w:rFonts w:ascii="Arial" w:eastAsia="Calibri" w:hAnsi="Arial" w:cs="Arial"/>
          <w:noProof w:val="0"/>
          <w:sz w:val="24"/>
          <w:szCs w:val="24"/>
        </w:rPr>
        <w:t xml:space="preserve"> </w:t>
      </w:r>
    </w:p>
    <w:p w14:paraId="1864DD72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4.</w:t>
      </w:r>
    </w:p>
    <w:p w14:paraId="70900C7E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613C32CF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Stožer obavlja zadaće koje se odnose na prikupljanje i obradu informacija ranog upozoravanja o mogućnosti nastanka velike nesreće i katastrofe, za svaku veliku nesreću i katastrofu priprema detaljne i specifične radne operativne postupke od značaja za koordiniranje djelovanja operativnih snaga sustava civilne zaštite, upravlja reagiranjem sustava civilne zaštite, obavlja poslove informiranja javnosti i predlaže donošenje odluke o prestanku provođenja mjera i aktivnosti sustava civilne zaštite u velikoj nesreći i katastrofi.</w:t>
      </w:r>
    </w:p>
    <w:p w14:paraId="5D7624E9" w14:textId="77777777" w:rsidR="00650892" w:rsidRPr="00650892" w:rsidRDefault="00650892" w:rsidP="00650892">
      <w:pPr>
        <w:jc w:val="both"/>
        <w:rPr>
          <w:rFonts w:ascii="Arial" w:eastAsia="Calibri" w:hAnsi="Arial" w:cs="Arial"/>
          <w:noProof w:val="0"/>
          <w:sz w:val="24"/>
          <w:szCs w:val="24"/>
        </w:rPr>
      </w:pPr>
    </w:p>
    <w:p w14:paraId="1872E633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5.</w:t>
      </w:r>
    </w:p>
    <w:p w14:paraId="0AF5E70E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16ADC43A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Načelnik Stožera u velikoj nesreći i katastrofi, a sukladno specifičnostima izvanrednog događaja, odlukom određuje koordinatora na lokaciji iz redova operativnih snaga sustava civilne zaštite Grada Otočca.</w:t>
      </w:r>
    </w:p>
    <w:p w14:paraId="234DAB21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75AAE475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6.</w:t>
      </w:r>
    </w:p>
    <w:p w14:paraId="380B43AE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233048B3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Stožer može biti stavljen u stanje pripravnosti ili aktiviran, uz uvažavanje stvarnih okolnosti.</w:t>
      </w:r>
    </w:p>
    <w:p w14:paraId="0E61B061" w14:textId="77777777" w:rsid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Kada se putem sustava ranog upozoravanja najavi mogućnost nastajanja velike nesreće i katastrofe, Stožer sukcesivno podiže razinu svoje pripravnosti.</w:t>
      </w:r>
    </w:p>
    <w:p w14:paraId="54B8394D" w14:textId="77777777" w:rsidR="00650892" w:rsidRPr="00650892" w:rsidRDefault="00650892" w:rsidP="00650892">
      <w:pPr>
        <w:jc w:val="both"/>
        <w:rPr>
          <w:rFonts w:ascii="Arial" w:eastAsia="Calibri" w:hAnsi="Arial" w:cs="Arial"/>
          <w:noProof w:val="0"/>
          <w:sz w:val="24"/>
          <w:szCs w:val="24"/>
        </w:rPr>
      </w:pPr>
    </w:p>
    <w:p w14:paraId="3A7B246D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7.</w:t>
      </w:r>
    </w:p>
    <w:p w14:paraId="21314131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799EB53C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Kada se proglasi stanje velike nesreće i katastrofe, Stožer preuzima sve poslove usklađivanja djelovanja operativnih snaga sustava civilne zaštite na ublažavanju i otklanjanju nastalih posljedica.</w:t>
      </w:r>
    </w:p>
    <w:p w14:paraId="589BC717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Odluku o aktiviranju i načinu rada Stožera donosi načelnik Stožera.</w:t>
      </w:r>
    </w:p>
    <w:p w14:paraId="6B31A6C7" w14:textId="77777777" w:rsidR="00650892" w:rsidRPr="00650892" w:rsidRDefault="00650892" w:rsidP="00650892">
      <w:pPr>
        <w:rPr>
          <w:rFonts w:ascii="Arial" w:eastAsia="Calibri" w:hAnsi="Arial" w:cs="Arial"/>
          <w:b/>
          <w:noProof w:val="0"/>
          <w:sz w:val="24"/>
          <w:szCs w:val="24"/>
        </w:rPr>
      </w:pPr>
    </w:p>
    <w:p w14:paraId="6AD80FEF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8.</w:t>
      </w:r>
    </w:p>
    <w:p w14:paraId="7DE83689" w14:textId="77777777" w:rsidR="00650892" w:rsidRPr="00650892" w:rsidRDefault="00650892" w:rsidP="00650892">
      <w:pPr>
        <w:jc w:val="center"/>
        <w:rPr>
          <w:rFonts w:ascii="Arial" w:eastAsia="Calibri" w:hAnsi="Arial" w:cs="Arial"/>
          <w:noProof w:val="0"/>
          <w:sz w:val="24"/>
          <w:szCs w:val="24"/>
        </w:rPr>
      </w:pPr>
    </w:p>
    <w:p w14:paraId="50812991" w14:textId="77777777" w:rsid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Stožer može raditi u punom ili užem sastavu, na pojedinačnim sjednicama ili kontinuirano dok je proglašeno stanje velike nesreće i katastrofe, na stalnoj lokaciji ili na izdvojenom mjestu, uključujući i rad u terenskim uvjetima.</w:t>
      </w:r>
    </w:p>
    <w:p w14:paraId="43C59DE5" w14:textId="77777777" w:rsidR="005C0C8D" w:rsidRPr="00650892" w:rsidRDefault="005C0C8D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</w:p>
    <w:p w14:paraId="06248D00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4341ED00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lastRenderedPageBreak/>
        <w:t>Članak 9.</w:t>
      </w:r>
    </w:p>
    <w:p w14:paraId="532DF516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25202FE6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Način rada Stožera uređuje se poslovnikom kojeg donosi Gradonačelnik Grada Otočca.</w:t>
      </w:r>
    </w:p>
    <w:p w14:paraId="5EDA5B67" w14:textId="77777777" w:rsidR="00650892" w:rsidRPr="00650892" w:rsidRDefault="00650892" w:rsidP="00650892">
      <w:pPr>
        <w:jc w:val="both"/>
        <w:rPr>
          <w:rFonts w:ascii="Arial" w:eastAsia="Calibri" w:hAnsi="Arial" w:cs="Arial"/>
          <w:noProof w:val="0"/>
          <w:sz w:val="24"/>
          <w:szCs w:val="24"/>
        </w:rPr>
      </w:pPr>
    </w:p>
    <w:p w14:paraId="79F157E1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10.</w:t>
      </w:r>
    </w:p>
    <w:p w14:paraId="3AC54E4C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3E598151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Pozivanje i aktiviranje Stožera nalaže načelnik Stožera, a provodi se prema Planu djelovanja civilne zaštite Grada Otočca.</w:t>
      </w:r>
    </w:p>
    <w:p w14:paraId="0AC2D3C0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Radom Stožera rukovodi načelnik Stožera, a u slučaju spriječenosti načelnika zamjenjuje ga njegov zamjenik. Kada se proglasi velika nesreća, rukovođenje preuzima Gradonačelnik Grada Otočca.</w:t>
      </w:r>
    </w:p>
    <w:p w14:paraId="6F421FA0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56C423C7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11.</w:t>
      </w:r>
    </w:p>
    <w:p w14:paraId="3D9D5D70" w14:textId="77777777" w:rsidR="00650892" w:rsidRPr="00650892" w:rsidRDefault="00650892" w:rsidP="00650892">
      <w:pPr>
        <w:jc w:val="center"/>
        <w:rPr>
          <w:rFonts w:ascii="Arial" w:eastAsia="Calibri" w:hAnsi="Arial" w:cs="Arial"/>
          <w:noProof w:val="0"/>
          <w:sz w:val="24"/>
          <w:szCs w:val="24"/>
        </w:rPr>
      </w:pPr>
    </w:p>
    <w:p w14:paraId="59166ADA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Administrativno-tehničke poslove i druge uvjete za rad Stožera osigurava Jedinstveni upravni odjel Grada Otočca.</w:t>
      </w:r>
    </w:p>
    <w:p w14:paraId="4C0E0CE1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5210EBDA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12.</w:t>
      </w:r>
    </w:p>
    <w:p w14:paraId="6E34FB69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019DD699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>Stupanjem na snagu ove Odluke stavlja se van snage Odluka o osnivanju i imenovanju članova Stožera civilne zaštite za područje Grada Otočca („Službeni vjesnik Grada Otočca“ broj 6/21, 8/22, 3/23, 8/23, 1/24, 2/24, 5/24, 1/25, 4/25).</w:t>
      </w:r>
    </w:p>
    <w:p w14:paraId="1F3E4AFB" w14:textId="77777777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</w:p>
    <w:p w14:paraId="33CF36C8" w14:textId="77777777" w:rsidR="00650892" w:rsidRPr="00650892" w:rsidRDefault="00650892" w:rsidP="00650892">
      <w:pPr>
        <w:jc w:val="center"/>
        <w:rPr>
          <w:rFonts w:ascii="Arial" w:eastAsia="Calibri" w:hAnsi="Arial" w:cs="Arial"/>
          <w:b/>
          <w:noProof w:val="0"/>
          <w:sz w:val="24"/>
          <w:szCs w:val="24"/>
        </w:rPr>
      </w:pPr>
      <w:r w:rsidRPr="00650892">
        <w:rPr>
          <w:rFonts w:ascii="Arial" w:eastAsia="Calibri" w:hAnsi="Arial" w:cs="Arial"/>
          <w:b/>
          <w:noProof w:val="0"/>
          <w:sz w:val="24"/>
          <w:szCs w:val="24"/>
        </w:rPr>
        <w:t>Članak 13.</w:t>
      </w:r>
    </w:p>
    <w:p w14:paraId="2F757375" w14:textId="77777777" w:rsidR="00650892" w:rsidRPr="00650892" w:rsidRDefault="00650892" w:rsidP="00650892">
      <w:pPr>
        <w:jc w:val="both"/>
        <w:rPr>
          <w:rFonts w:ascii="Arial" w:eastAsia="Calibri" w:hAnsi="Arial" w:cs="Arial"/>
          <w:noProof w:val="0"/>
          <w:sz w:val="24"/>
          <w:szCs w:val="24"/>
        </w:rPr>
      </w:pPr>
    </w:p>
    <w:p w14:paraId="165DD629" w14:textId="77777777" w:rsidR="005C0C8D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  <w:t xml:space="preserve">Ova Odluka stupa na snagu danom donošenja, a objavit će se u „Službenom vjesniku Grada Otočca“. </w:t>
      </w:r>
    </w:p>
    <w:p w14:paraId="47DB14B3" w14:textId="102C8102" w:rsidR="00650892" w:rsidRPr="00650892" w:rsidRDefault="00650892" w:rsidP="005C0C8D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</w:r>
    </w:p>
    <w:p w14:paraId="5CAAEA64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</w:p>
    <w:p w14:paraId="23EEE668" w14:textId="77777777" w:rsidR="00650892" w:rsidRPr="00650892" w:rsidRDefault="00650892" w:rsidP="00650892">
      <w:pPr>
        <w:rPr>
          <w:rFonts w:ascii="Arial" w:eastAsia="Calibri" w:hAnsi="Arial" w:cs="Arial"/>
          <w:bCs/>
          <w:noProof w:val="0"/>
          <w:sz w:val="24"/>
          <w:szCs w:val="24"/>
        </w:rPr>
      </w:pPr>
      <w:r w:rsidRPr="00650892">
        <w:rPr>
          <w:rFonts w:ascii="Arial" w:eastAsia="Calibri" w:hAnsi="Arial" w:cs="Arial"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noProof w:val="0"/>
          <w:sz w:val="24"/>
          <w:szCs w:val="24"/>
        </w:rPr>
        <w:tab/>
      </w:r>
    </w:p>
    <w:p w14:paraId="594B9CDC" w14:textId="3B72E592" w:rsidR="00650892" w:rsidRPr="00650892" w:rsidRDefault="00650892" w:rsidP="00650892">
      <w:pPr>
        <w:rPr>
          <w:rFonts w:ascii="Arial" w:eastAsia="Calibri" w:hAnsi="Arial" w:cs="Arial"/>
          <w:bCs/>
          <w:noProof w:val="0"/>
          <w:sz w:val="24"/>
          <w:szCs w:val="24"/>
        </w:rPr>
      </w:pP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  <w:t xml:space="preserve">       Gradonačelnik</w:t>
      </w:r>
    </w:p>
    <w:p w14:paraId="44CD92F7" w14:textId="77777777" w:rsidR="00650892" w:rsidRPr="00650892" w:rsidRDefault="00650892" w:rsidP="00650892">
      <w:pPr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</w: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ab/>
        <w:t xml:space="preserve">           Goran Bukovac, dipl. pol.</w:t>
      </w:r>
      <w:r w:rsidRPr="00650892">
        <w:rPr>
          <w:rFonts w:ascii="Arial" w:eastAsia="Calibri" w:hAnsi="Arial" w:cs="Arial"/>
          <w:noProof w:val="0"/>
          <w:sz w:val="24"/>
          <w:szCs w:val="24"/>
        </w:rPr>
        <w:tab/>
        <w:t xml:space="preserve"> </w:t>
      </w:r>
    </w:p>
    <w:p w14:paraId="4B6B40BC" w14:textId="4343B1F5" w:rsidR="009568BF" w:rsidRPr="00AD4961" w:rsidRDefault="00650892" w:rsidP="00AD4961">
      <w:pPr>
        <w:spacing w:after="200" w:line="276" w:lineRule="auto"/>
        <w:rPr>
          <w:rFonts w:ascii="Arial" w:eastAsia="Calibri" w:hAnsi="Arial" w:cs="Arial"/>
          <w:noProof w:val="0"/>
          <w:sz w:val="24"/>
          <w:szCs w:val="24"/>
        </w:rPr>
      </w:pPr>
      <w:r w:rsidRPr="00650892">
        <w:rPr>
          <w:rFonts w:ascii="Arial" w:eastAsia="Calibri" w:hAnsi="Arial" w:cs="Arial"/>
          <w:bCs/>
          <w:noProof w:val="0"/>
          <w:sz w:val="24"/>
          <w:szCs w:val="24"/>
        </w:rPr>
        <w:t xml:space="preserve">     </w:t>
      </w:r>
    </w:p>
    <w:sectPr w:rsidR="009568BF" w:rsidRPr="00AD4961" w:rsidSect="00650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30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232C96"/>
    <w:rsid w:val="003420A4"/>
    <w:rsid w:val="005C0C8D"/>
    <w:rsid w:val="00615CFD"/>
    <w:rsid w:val="00620325"/>
    <w:rsid w:val="00650892"/>
    <w:rsid w:val="0068186E"/>
    <w:rsid w:val="00693AB1"/>
    <w:rsid w:val="006D5040"/>
    <w:rsid w:val="00767F8A"/>
    <w:rsid w:val="007B4B4E"/>
    <w:rsid w:val="007E59EB"/>
    <w:rsid w:val="008A562A"/>
    <w:rsid w:val="008B3925"/>
    <w:rsid w:val="008C5FE5"/>
    <w:rsid w:val="009568BF"/>
    <w:rsid w:val="00A51B34"/>
    <w:rsid w:val="00A836D0"/>
    <w:rsid w:val="00AC35DA"/>
    <w:rsid w:val="00AD4961"/>
    <w:rsid w:val="00B92D0F"/>
    <w:rsid w:val="00C70069"/>
    <w:rsid w:val="00C9578C"/>
    <w:rsid w:val="00D67644"/>
    <w:rsid w:val="00D707B3"/>
    <w:rsid w:val="00E060DF"/>
    <w:rsid w:val="00E4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Lucijana Vidmar</cp:lastModifiedBy>
  <cp:revision>2</cp:revision>
  <cp:lastPrinted>2025-07-25T08:07:00Z</cp:lastPrinted>
  <dcterms:created xsi:type="dcterms:W3CDTF">2025-07-25T09:59:00Z</dcterms:created>
  <dcterms:modified xsi:type="dcterms:W3CDTF">2025-07-25T09:59:00Z</dcterms:modified>
</cp:coreProperties>
</file>